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73C17" w14:textId="4A6E5CD7" w:rsidR="008A4A72" w:rsidRPr="00C844F2" w:rsidRDefault="00D57C77" w:rsidP="00C844F2">
      <w:pPr>
        <w:pStyle w:val="Heading2"/>
        <w:spacing w:line="22" w:lineRule="atLeast"/>
        <w:rPr>
          <w:rFonts w:ascii="Arial" w:hAnsi="Arial" w:cs="Arial"/>
          <w:b/>
          <w:bCs/>
          <w:sz w:val="40"/>
          <w:szCs w:val="40"/>
        </w:rPr>
      </w:pPr>
      <w:r w:rsidRPr="00C844F2">
        <w:rPr>
          <w:rFonts w:ascii="Arial" w:hAnsi="Arial" w:cs="Arial"/>
          <w:b/>
          <w:bCs/>
          <w:sz w:val="40"/>
          <w:szCs w:val="40"/>
        </w:rPr>
        <w:t xml:space="preserve">Supporters, Representatives </w:t>
      </w:r>
      <w:r>
        <w:rPr>
          <w:rFonts w:ascii="Arial" w:hAnsi="Arial" w:cs="Arial"/>
          <w:b/>
          <w:bCs/>
          <w:sz w:val="40"/>
          <w:szCs w:val="40"/>
        </w:rPr>
        <w:t>a</w:t>
      </w:r>
      <w:r w:rsidRPr="00C844F2">
        <w:rPr>
          <w:rFonts w:ascii="Arial" w:hAnsi="Arial" w:cs="Arial"/>
          <w:b/>
          <w:bCs/>
          <w:sz w:val="40"/>
          <w:szCs w:val="40"/>
        </w:rPr>
        <w:t>nd Witnesses.</w:t>
      </w:r>
    </w:p>
    <w:p w14:paraId="5B09DDA6" w14:textId="77777777" w:rsidR="00B14B0F" w:rsidRPr="00C844F2" w:rsidRDefault="00B14B0F" w:rsidP="00C844F2">
      <w:pPr>
        <w:spacing w:line="22" w:lineRule="atLeast"/>
        <w:rPr>
          <w:rFonts w:cs="Arial"/>
          <w:b/>
          <w:bCs/>
        </w:rPr>
      </w:pPr>
    </w:p>
    <w:p w14:paraId="4C36944F" w14:textId="06EC8DD5" w:rsidR="00D44697" w:rsidRPr="00C844F2" w:rsidRDefault="00D44697" w:rsidP="00C844F2">
      <w:pPr>
        <w:spacing w:line="22" w:lineRule="atLeast"/>
        <w:rPr>
          <w:rFonts w:cs="Arial"/>
        </w:rPr>
      </w:pPr>
      <w:r w:rsidRPr="00C844F2">
        <w:rPr>
          <w:rFonts w:cs="Arial"/>
        </w:rPr>
        <w:t>You</w:t>
      </w:r>
      <w:r w:rsidR="008A4A72" w:rsidRPr="00C844F2">
        <w:rPr>
          <w:rFonts w:cs="Arial"/>
        </w:rPr>
        <w:t xml:space="preserve"> can </w:t>
      </w:r>
      <w:r w:rsidRPr="00C844F2">
        <w:rPr>
          <w:rFonts w:cs="Arial"/>
        </w:rPr>
        <w:t xml:space="preserve">be accompanied by one person at all </w:t>
      </w:r>
      <w:r w:rsidR="008A4A72" w:rsidRPr="00C844F2">
        <w:rPr>
          <w:rFonts w:cs="Arial"/>
        </w:rPr>
        <w:t>meetings and hearings arranged through</w:t>
      </w:r>
      <w:r w:rsidRPr="00C844F2">
        <w:rPr>
          <w:rFonts w:cs="Arial"/>
        </w:rPr>
        <w:t xml:space="preserve"> one of the University</w:t>
      </w:r>
      <w:r w:rsidR="17F1EC6A" w:rsidRPr="00C844F2">
        <w:rPr>
          <w:rFonts w:cs="Arial"/>
        </w:rPr>
        <w:t>’s</w:t>
      </w:r>
      <w:r w:rsidRPr="00C844F2">
        <w:rPr>
          <w:rFonts w:cs="Arial"/>
        </w:rPr>
        <w:t xml:space="preserve"> student procedures</w:t>
      </w:r>
      <w:r w:rsidR="008A4A72" w:rsidRPr="00C844F2">
        <w:rPr>
          <w:rFonts w:cs="Arial"/>
        </w:rPr>
        <w:t xml:space="preserve">. </w:t>
      </w:r>
      <w:r w:rsidRPr="00C844F2">
        <w:rPr>
          <w:rFonts w:cs="Arial"/>
        </w:rPr>
        <w:t xml:space="preserve">This person can either be a ‘supporter’ or a ‘representative’. </w:t>
      </w:r>
    </w:p>
    <w:p w14:paraId="3FEB3299" w14:textId="77777777" w:rsidR="00B61B88" w:rsidRDefault="00B61B88" w:rsidP="00C844F2">
      <w:pPr>
        <w:spacing w:line="22" w:lineRule="atLeast"/>
        <w:rPr>
          <w:rFonts w:cs="Arial"/>
          <w:b/>
          <w:bCs/>
        </w:rPr>
      </w:pPr>
    </w:p>
    <w:p w14:paraId="2DA2096C" w14:textId="1CB0A65E" w:rsidR="00D44697" w:rsidRPr="00C844F2" w:rsidRDefault="00D44697" w:rsidP="00C844F2">
      <w:pPr>
        <w:spacing w:line="22" w:lineRule="atLeast"/>
        <w:rPr>
          <w:rFonts w:cs="Arial"/>
          <w:b/>
          <w:bCs/>
        </w:rPr>
      </w:pPr>
      <w:r w:rsidRPr="00C844F2">
        <w:rPr>
          <w:rFonts w:cs="Arial"/>
          <w:b/>
          <w:bCs/>
        </w:rPr>
        <w:t>Supporter.</w:t>
      </w:r>
    </w:p>
    <w:p w14:paraId="61054EF7" w14:textId="688107BA" w:rsidR="00D44697" w:rsidRPr="00C844F2" w:rsidRDefault="00D44697" w:rsidP="00C844F2">
      <w:pPr>
        <w:spacing w:line="22" w:lineRule="atLeast"/>
        <w:rPr>
          <w:rFonts w:cs="Arial"/>
        </w:rPr>
      </w:pPr>
      <w:r w:rsidRPr="00C844F2">
        <w:rPr>
          <w:rFonts w:cs="Arial"/>
        </w:rPr>
        <w:t>A</w:t>
      </w:r>
      <w:r w:rsidR="008A4A72" w:rsidRPr="00C844F2">
        <w:rPr>
          <w:rFonts w:cs="Arial"/>
        </w:rPr>
        <w:t xml:space="preserve"> supporter can take notes, </w:t>
      </w:r>
      <w:r w:rsidRPr="00C844F2">
        <w:rPr>
          <w:rFonts w:cs="Arial"/>
        </w:rPr>
        <w:t>offer you support and guidance</w:t>
      </w:r>
      <w:r w:rsidR="008A4A72" w:rsidRPr="00C844F2">
        <w:rPr>
          <w:rFonts w:cs="Arial"/>
        </w:rPr>
        <w:t xml:space="preserve">, but </w:t>
      </w:r>
      <w:r w:rsidRPr="00C844F2">
        <w:rPr>
          <w:rFonts w:cs="Arial"/>
        </w:rPr>
        <w:t>cannot make representations or ask</w:t>
      </w:r>
      <w:r w:rsidR="00D77176" w:rsidRPr="00C844F2">
        <w:rPr>
          <w:rFonts w:cs="Arial"/>
        </w:rPr>
        <w:t xml:space="preserve"> or answer</w:t>
      </w:r>
      <w:r w:rsidRPr="00C844F2">
        <w:rPr>
          <w:rFonts w:cs="Arial"/>
        </w:rPr>
        <w:t xml:space="preserve"> questions on behalf of you</w:t>
      </w:r>
      <w:r w:rsidR="008A4A72" w:rsidRPr="00C844F2">
        <w:rPr>
          <w:rFonts w:cs="Arial"/>
        </w:rPr>
        <w:t xml:space="preserve">. </w:t>
      </w:r>
    </w:p>
    <w:p w14:paraId="2F952FA1" w14:textId="0F1FCDB9" w:rsidR="00D44697" w:rsidRPr="00C844F2" w:rsidRDefault="008A4A72" w:rsidP="00C844F2">
      <w:pPr>
        <w:spacing w:line="22" w:lineRule="atLeast"/>
        <w:rPr>
          <w:rFonts w:cs="Arial"/>
        </w:rPr>
      </w:pPr>
      <w:r w:rsidRPr="00C844F2">
        <w:rPr>
          <w:rFonts w:cs="Arial"/>
        </w:rPr>
        <w:t xml:space="preserve">The name of the supporter must be provided to the University at least 24 hours before any meeting. It is your responsibility to provide your supporter with all relevant information and notification of meetings. The University is unable to cover any costs incurred by supporters. </w:t>
      </w:r>
    </w:p>
    <w:p w14:paraId="69212A08" w14:textId="75C4DF1F" w:rsidR="008A4A72" w:rsidRPr="00C844F2" w:rsidRDefault="008A4A72" w:rsidP="00C844F2">
      <w:pPr>
        <w:spacing w:line="22" w:lineRule="atLeast"/>
        <w:rPr>
          <w:rFonts w:cs="Arial"/>
        </w:rPr>
      </w:pPr>
      <w:r w:rsidRPr="00C844F2">
        <w:rPr>
          <w:rFonts w:cs="Arial"/>
        </w:rPr>
        <w:t>A supporter must not be someone who has been suspended or excluded</w:t>
      </w:r>
      <w:r w:rsidR="00B61B88">
        <w:rPr>
          <w:rFonts w:cs="Arial"/>
        </w:rPr>
        <w:t>/expelled</w:t>
      </w:r>
      <w:r w:rsidRPr="00C844F2">
        <w:rPr>
          <w:rFonts w:cs="Arial"/>
        </w:rPr>
        <w:t xml:space="preserve"> from the University for any reason. </w:t>
      </w:r>
    </w:p>
    <w:p w14:paraId="6D12BCF2" w14:textId="02E78016" w:rsidR="00D44697" w:rsidRPr="00C844F2" w:rsidRDefault="00D44697" w:rsidP="00C844F2">
      <w:pPr>
        <w:spacing w:line="22" w:lineRule="atLeast"/>
        <w:rPr>
          <w:rFonts w:cs="Arial"/>
        </w:rPr>
      </w:pPr>
    </w:p>
    <w:p w14:paraId="1B075179" w14:textId="59C3C7D5" w:rsidR="00D44697" w:rsidRPr="00C844F2" w:rsidRDefault="00D44697" w:rsidP="00C844F2">
      <w:pPr>
        <w:spacing w:line="22" w:lineRule="atLeast"/>
        <w:rPr>
          <w:rFonts w:cs="Arial"/>
          <w:b/>
          <w:bCs/>
        </w:rPr>
      </w:pPr>
      <w:r w:rsidRPr="00C844F2">
        <w:rPr>
          <w:rFonts w:cs="Arial"/>
          <w:b/>
          <w:bCs/>
        </w:rPr>
        <w:t>Representative.</w:t>
      </w:r>
    </w:p>
    <w:p w14:paraId="1A62EC81" w14:textId="03963278" w:rsidR="00D44697" w:rsidRPr="00C844F2" w:rsidRDefault="00D44697" w:rsidP="00C844F2">
      <w:pPr>
        <w:spacing w:line="22" w:lineRule="atLeast"/>
        <w:rPr>
          <w:rFonts w:cs="Arial"/>
        </w:rPr>
      </w:pPr>
      <w:r w:rsidRPr="00C844F2">
        <w:rPr>
          <w:rFonts w:cs="Arial"/>
        </w:rPr>
        <w:t xml:space="preserve">A representative may make representations or ask questions on </w:t>
      </w:r>
      <w:r w:rsidR="482CE145" w:rsidRPr="00C844F2">
        <w:rPr>
          <w:rFonts w:cs="Arial"/>
        </w:rPr>
        <w:t xml:space="preserve">your </w:t>
      </w:r>
      <w:r w:rsidRPr="00C844F2">
        <w:rPr>
          <w:rFonts w:cs="Arial"/>
        </w:rPr>
        <w:t>behalf</w:t>
      </w:r>
      <w:r w:rsidR="00697BF1">
        <w:rPr>
          <w:rFonts w:cs="Arial"/>
        </w:rPr>
        <w:t xml:space="preserve">, </w:t>
      </w:r>
      <w:r w:rsidRPr="00C844F2">
        <w:rPr>
          <w:rFonts w:cs="Arial"/>
        </w:rPr>
        <w:t xml:space="preserve">although you may </w:t>
      </w:r>
      <w:r w:rsidR="00697BF1">
        <w:rPr>
          <w:rFonts w:cs="Arial"/>
        </w:rPr>
        <w:t xml:space="preserve">also </w:t>
      </w:r>
      <w:r w:rsidRPr="00C844F2">
        <w:rPr>
          <w:rFonts w:cs="Arial"/>
        </w:rPr>
        <w:t xml:space="preserve">be asked to directly answer some </w:t>
      </w:r>
      <w:proofErr w:type="gramStart"/>
      <w:r w:rsidRPr="00C844F2">
        <w:rPr>
          <w:rFonts w:cs="Arial"/>
        </w:rPr>
        <w:t xml:space="preserve">questions, </w:t>
      </w:r>
      <w:r w:rsidR="00697BF1">
        <w:rPr>
          <w:rFonts w:cs="Arial"/>
        </w:rPr>
        <w:t>and</w:t>
      </w:r>
      <w:proofErr w:type="gramEnd"/>
      <w:r w:rsidR="00697BF1">
        <w:rPr>
          <w:rFonts w:cs="Arial"/>
        </w:rPr>
        <w:t xml:space="preserve"> </w:t>
      </w:r>
      <w:r w:rsidRPr="00C844F2">
        <w:rPr>
          <w:rFonts w:cs="Arial"/>
        </w:rPr>
        <w:t>can take notes</w:t>
      </w:r>
      <w:r w:rsidR="5555E732" w:rsidRPr="00C844F2">
        <w:rPr>
          <w:rFonts w:cs="Arial"/>
        </w:rPr>
        <w:t xml:space="preserve"> and </w:t>
      </w:r>
      <w:r w:rsidRPr="00C844F2">
        <w:rPr>
          <w:rFonts w:cs="Arial"/>
        </w:rPr>
        <w:t>offer you support and guidance.</w:t>
      </w:r>
    </w:p>
    <w:p w14:paraId="651158D0" w14:textId="77777777" w:rsidR="00D44697" w:rsidRPr="00C844F2" w:rsidRDefault="00D44697" w:rsidP="00C844F2">
      <w:pPr>
        <w:spacing w:line="22" w:lineRule="atLeast"/>
        <w:rPr>
          <w:rFonts w:cs="Arial"/>
        </w:rPr>
      </w:pPr>
      <w:r w:rsidRPr="00C844F2">
        <w:rPr>
          <w:rFonts w:cs="Arial"/>
        </w:rPr>
        <w:t xml:space="preserve">The name of the representative must be provided to the University at least 24 hours before any meeting. It is your responsibility to provide your representative with all relevant information and notification of meetings. The University is unable to cover any costs incurred by representatives. </w:t>
      </w:r>
    </w:p>
    <w:p w14:paraId="585C1151" w14:textId="4E0A2617" w:rsidR="00D44697" w:rsidRPr="00C844F2" w:rsidRDefault="00D44697" w:rsidP="00C844F2">
      <w:pPr>
        <w:spacing w:line="22" w:lineRule="atLeast"/>
        <w:rPr>
          <w:rFonts w:cs="Arial"/>
        </w:rPr>
      </w:pPr>
      <w:r w:rsidRPr="00C844F2">
        <w:rPr>
          <w:rFonts w:cs="Arial"/>
        </w:rPr>
        <w:t>A representative must not be someone who has been suspended or excluded</w:t>
      </w:r>
      <w:r w:rsidR="00697BF1">
        <w:rPr>
          <w:rFonts w:cs="Arial"/>
        </w:rPr>
        <w:t>/</w:t>
      </w:r>
      <w:r w:rsidR="005C087C">
        <w:rPr>
          <w:rFonts w:cs="Arial"/>
        </w:rPr>
        <w:t>expelled</w:t>
      </w:r>
      <w:r w:rsidRPr="00C844F2">
        <w:rPr>
          <w:rFonts w:cs="Arial"/>
        </w:rPr>
        <w:t xml:space="preserve"> from the University for any reason. </w:t>
      </w:r>
    </w:p>
    <w:p w14:paraId="30FF6039" w14:textId="6E7BC8B9" w:rsidR="00D44697" w:rsidRPr="00C844F2" w:rsidRDefault="00D44697" w:rsidP="00C844F2">
      <w:pPr>
        <w:spacing w:line="22" w:lineRule="atLeast"/>
        <w:rPr>
          <w:rFonts w:cs="Arial"/>
        </w:rPr>
      </w:pPr>
      <w:r w:rsidRPr="00C844F2">
        <w:rPr>
          <w:rFonts w:cs="Arial"/>
        </w:rPr>
        <w:t>Guidance about legal representation is available here</w:t>
      </w:r>
      <w:r w:rsidR="004B5DA4" w:rsidRPr="00C844F2">
        <w:rPr>
          <w:rFonts w:cs="Arial"/>
        </w:rPr>
        <w:t xml:space="preserve">: </w:t>
      </w:r>
      <w:hyperlink r:id="rId8" w:history="1">
        <w:r w:rsidR="004B5DA4" w:rsidRPr="00C844F2">
          <w:rPr>
            <w:rStyle w:val="Hyperlink"/>
            <w:rFonts w:cs="Arial"/>
          </w:rPr>
          <w:t>https://www.salford.ac.uk/sites/default/files/2020-07/Legal-Representation.pdf</w:t>
        </w:r>
      </w:hyperlink>
      <w:r w:rsidR="004B5DA4" w:rsidRPr="00C844F2">
        <w:rPr>
          <w:rFonts w:cs="Arial"/>
        </w:rPr>
        <w:t xml:space="preserve">. </w:t>
      </w:r>
    </w:p>
    <w:p w14:paraId="53B06429" w14:textId="0950F3C8" w:rsidR="00D44697" w:rsidRPr="00C844F2" w:rsidRDefault="00D44697" w:rsidP="00C844F2">
      <w:pPr>
        <w:spacing w:line="22" w:lineRule="atLeast"/>
        <w:rPr>
          <w:rFonts w:cs="Arial"/>
        </w:rPr>
      </w:pPr>
    </w:p>
    <w:p w14:paraId="01A4ED4B" w14:textId="73FEE669" w:rsidR="00D44697" w:rsidRPr="00C844F2" w:rsidRDefault="00D44697" w:rsidP="00C844F2">
      <w:pPr>
        <w:spacing w:line="22" w:lineRule="atLeast"/>
        <w:rPr>
          <w:rFonts w:cs="Arial"/>
          <w:b/>
          <w:bCs/>
        </w:rPr>
      </w:pPr>
      <w:r w:rsidRPr="00C844F2">
        <w:rPr>
          <w:rFonts w:cs="Arial"/>
          <w:b/>
          <w:bCs/>
        </w:rPr>
        <w:t xml:space="preserve">Witnesses. </w:t>
      </w:r>
    </w:p>
    <w:p w14:paraId="6A52B5C4" w14:textId="7C64093E" w:rsidR="00FB1925" w:rsidRPr="00C844F2" w:rsidRDefault="00F13EC3" w:rsidP="00C844F2">
      <w:pPr>
        <w:keepLines/>
        <w:spacing w:line="22" w:lineRule="atLeast"/>
        <w:rPr>
          <w:rFonts w:cs="Arial"/>
        </w:rPr>
      </w:pPr>
      <w:r w:rsidRPr="00C844F2">
        <w:rPr>
          <w:rFonts w:cs="Arial"/>
        </w:rPr>
        <w:t xml:space="preserve">Witnesses are only called </w:t>
      </w:r>
      <w:r w:rsidR="00634CCC" w:rsidRPr="00C844F2">
        <w:rPr>
          <w:rFonts w:cs="Arial"/>
        </w:rPr>
        <w:t xml:space="preserve">for formal hearings and only </w:t>
      </w:r>
      <w:r w:rsidRPr="00C844F2">
        <w:rPr>
          <w:rFonts w:cs="Arial"/>
        </w:rPr>
        <w:t xml:space="preserve">into a </w:t>
      </w:r>
      <w:r w:rsidR="00CB7445" w:rsidRPr="00C844F2">
        <w:rPr>
          <w:rFonts w:cs="Arial"/>
        </w:rPr>
        <w:t>meeting</w:t>
      </w:r>
      <w:r w:rsidRPr="00C844F2">
        <w:rPr>
          <w:rFonts w:cs="Arial"/>
        </w:rPr>
        <w:t xml:space="preserve"> for part of the hearing. </w:t>
      </w:r>
      <w:r w:rsidR="008F4957" w:rsidRPr="00C844F2">
        <w:rPr>
          <w:rFonts w:cs="Arial"/>
        </w:rPr>
        <w:t>Deadlines</w:t>
      </w:r>
      <w:r w:rsidR="0096396A" w:rsidRPr="00C844F2">
        <w:rPr>
          <w:rFonts w:cs="Arial"/>
        </w:rPr>
        <w:t xml:space="preserve"> for notification of witnesses</w:t>
      </w:r>
      <w:r w:rsidR="005C087C">
        <w:rPr>
          <w:rFonts w:cs="Arial"/>
        </w:rPr>
        <w:t xml:space="preserve"> are</w:t>
      </w:r>
      <w:r w:rsidR="008F4957" w:rsidRPr="00C844F2">
        <w:rPr>
          <w:rFonts w:cs="Arial"/>
        </w:rPr>
        <w:t xml:space="preserve"> 10 working days prior for those bring</w:t>
      </w:r>
      <w:r w:rsidR="00A124BC">
        <w:rPr>
          <w:rFonts w:cs="Arial"/>
        </w:rPr>
        <w:t>ing</w:t>
      </w:r>
      <w:r w:rsidR="008F4957" w:rsidRPr="00C844F2">
        <w:rPr>
          <w:rFonts w:cs="Arial"/>
        </w:rPr>
        <w:t xml:space="preserve"> the case and 5 working days prior for those responding. </w:t>
      </w:r>
    </w:p>
    <w:p w14:paraId="14970A44" w14:textId="78881C08" w:rsidR="00F13EC3" w:rsidRDefault="00F13EC3" w:rsidP="00C844F2">
      <w:pPr>
        <w:keepLines/>
        <w:spacing w:line="22" w:lineRule="atLeast"/>
        <w:rPr>
          <w:rFonts w:cs="Arial"/>
        </w:rPr>
      </w:pPr>
      <w:r w:rsidRPr="00C844F2">
        <w:rPr>
          <w:rFonts w:cs="Arial"/>
        </w:rPr>
        <w:t xml:space="preserve">Witnesses will be normally invited </w:t>
      </w:r>
      <w:r w:rsidR="00CB7445" w:rsidRPr="00C844F2">
        <w:rPr>
          <w:rFonts w:cs="Arial"/>
        </w:rPr>
        <w:t>to</w:t>
      </w:r>
      <w:r w:rsidRPr="00C844F2">
        <w:rPr>
          <w:rFonts w:cs="Arial"/>
        </w:rPr>
        <w:t xml:space="preserve"> make a short oral statement on the specific matter</w:t>
      </w:r>
      <w:r w:rsidR="0D943600" w:rsidRPr="00C844F2">
        <w:rPr>
          <w:rFonts w:cs="Arial"/>
        </w:rPr>
        <w:t>(s)</w:t>
      </w:r>
      <w:r w:rsidRPr="00C844F2">
        <w:rPr>
          <w:rFonts w:cs="Arial"/>
        </w:rPr>
        <w:t xml:space="preserve"> they are called for, and then answer questions. In some </w:t>
      </w:r>
      <w:r w:rsidR="006607BD" w:rsidRPr="00C844F2">
        <w:rPr>
          <w:rFonts w:cs="Arial"/>
        </w:rPr>
        <w:t xml:space="preserve">limited </w:t>
      </w:r>
      <w:r w:rsidRPr="00C844F2">
        <w:rPr>
          <w:rFonts w:cs="Arial"/>
        </w:rPr>
        <w:t>instances</w:t>
      </w:r>
      <w:r w:rsidR="3B6C8D15" w:rsidRPr="00C844F2">
        <w:rPr>
          <w:rFonts w:cs="Arial"/>
        </w:rPr>
        <w:t>,</w:t>
      </w:r>
      <w:r w:rsidRPr="00C844F2">
        <w:rPr>
          <w:rFonts w:cs="Arial"/>
        </w:rPr>
        <w:t xml:space="preserve"> a witness may attend only to make a statement, but not to answer questions</w:t>
      </w:r>
      <w:r w:rsidR="53296D77" w:rsidRPr="00C844F2">
        <w:rPr>
          <w:rFonts w:cs="Arial"/>
        </w:rPr>
        <w:t>. T</w:t>
      </w:r>
      <w:r w:rsidRPr="00C844F2">
        <w:rPr>
          <w:rFonts w:cs="Arial"/>
        </w:rPr>
        <w:t>his would only happen in cases where there is an acknowledge</w:t>
      </w:r>
      <w:r w:rsidR="4A941535" w:rsidRPr="00C844F2">
        <w:rPr>
          <w:rFonts w:cs="Arial"/>
        </w:rPr>
        <w:t>d</w:t>
      </w:r>
      <w:r w:rsidRPr="00C844F2">
        <w:rPr>
          <w:rFonts w:cs="Arial"/>
        </w:rPr>
        <w:t xml:space="preserve"> need to avoid the possibility of a vulnerable witness being ‘cross-examined’.</w:t>
      </w:r>
    </w:p>
    <w:p w14:paraId="6CB393C8" w14:textId="161156F7" w:rsidR="001F54AB" w:rsidRPr="00C844F2" w:rsidRDefault="000B1751" w:rsidP="00C844F2">
      <w:pPr>
        <w:keepLines/>
        <w:spacing w:line="22" w:lineRule="atLeast"/>
        <w:rPr>
          <w:rFonts w:cs="Arial"/>
        </w:rPr>
      </w:pPr>
      <w:r w:rsidRPr="00D901E3">
        <w:rPr>
          <w:rFonts w:eastAsia="SimSun" w:cs="Arial"/>
          <w:szCs w:val="24"/>
        </w:rPr>
        <w:lastRenderedPageBreak/>
        <w:t>In some instances, a witness may attend only to make a statement, but not to answer questions. This would only happen in cases where there is an acknowledged need to avoid the possibility of a vulnerable witness being ‘cross-examined’</w:t>
      </w:r>
      <w:r>
        <w:rPr>
          <w:rFonts w:eastAsia="SimSun" w:cs="Arial"/>
          <w:szCs w:val="24"/>
        </w:rPr>
        <w:t xml:space="preserve"> and permission for this should be applied for form the Chair at least five working days prior to the hearing.</w:t>
      </w:r>
    </w:p>
    <w:p w14:paraId="7E6E5F43" w14:textId="31840BF5" w:rsidR="00F13EC3" w:rsidRPr="00906EB0" w:rsidRDefault="00F13EC3" w:rsidP="00906EB0">
      <w:pPr>
        <w:keepLines/>
        <w:spacing w:line="22" w:lineRule="atLeast"/>
        <w:rPr>
          <w:rFonts w:cs="Arial"/>
          <w:szCs w:val="24"/>
        </w:rPr>
      </w:pPr>
      <w:r w:rsidRPr="00906EB0">
        <w:rPr>
          <w:rFonts w:cs="Arial"/>
          <w:szCs w:val="24"/>
        </w:rPr>
        <w:t>Where there is a formal investigation, such as in F</w:t>
      </w:r>
      <w:r w:rsidR="00CB7445" w:rsidRPr="00906EB0">
        <w:rPr>
          <w:rFonts w:cs="Arial"/>
          <w:szCs w:val="24"/>
        </w:rPr>
        <w:t xml:space="preserve">itness </w:t>
      </w:r>
      <w:r w:rsidRPr="00906EB0">
        <w:rPr>
          <w:rFonts w:cs="Arial"/>
          <w:szCs w:val="24"/>
        </w:rPr>
        <w:t>t</w:t>
      </w:r>
      <w:r w:rsidR="00CB7445" w:rsidRPr="00906EB0">
        <w:rPr>
          <w:rFonts w:cs="Arial"/>
          <w:szCs w:val="24"/>
        </w:rPr>
        <w:t xml:space="preserve">o </w:t>
      </w:r>
      <w:r w:rsidRPr="00906EB0">
        <w:rPr>
          <w:rFonts w:cs="Arial"/>
          <w:szCs w:val="24"/>
        </w:rPr>
        <w:t>P</w:t>
      </w:r>
      <w:r w:rsidR="00CB7445" w:rsidRPr="00906EB0">
        <w:rPr>
          <w:rFonts w:cs="Arial"/>
          <w:szCs w:val="24"/>
        </w:rPr>
        <w:t>ractise</w:t>
      </w:r>
      <w:r w:rsidR="0096396A" w:rsidRPr="00906EB0">
        <w:rPr>
          <w:rFonts w:cs="Arial"/>
          <w:szCs w:val="24"/>
        </w:rPr>
        <w:t xml:space="preserve"> and </w:t>
      </w:r>
      <w:r w:rsidRPr="00906EB0">
        <w:rPr>
          <w:rFonts w:cs="Arial"/>
          <w:szCs w:val="24"/>
        </w:rPr>
        <w:t>S</w:t>
      </w:r>
      <w:r w:rsidR="00CB7445" w:rsidRPr="00906EB0">
        <w:rPr>
          <w:rFonts w:cs="Arial"/>
          <w:szCs w:val="24"/>
        </w:rPr>
        <w:t>tudent</w:t>
      </w:r>
      <w:r w:rsidR="00404F9E" w:rsidRPr="00906EB0">
        <w:rPr>
          <w:rFonts w:cs="Arial"/>
          <w:szCs w:val="24"/>
        </w:rPr>
        <w:t xml:space="preserve"> </w:t>
      </w:r>
      <w:r w:rsidR="006607BD" w:rsidRPr="00906EB0">
        <w:rPr>
          <w:rFonts w:cs="Arial"/>
          <w:szCs w:val="24"/>
        </w:rPr>
        <w:t>Misconduct</w:t>
      </w:r>
      <w:r w:rsidR="00CB7445" w:rsidRPr="00906EB0">
        <w:rPr>
          <w:rFonts w:cs="Arial"/>
          <w:szCs w:val="24"/>
        </w:rPr>
        <w:t xml:space="preserve"> </w:t>
      </w:r>
      <w:r w:rsidRPr="00906EB0">
        <w:rPr>
          <w:rFonts w:cs="Arial"/>
          <w:szCs w:val="24"/>
        </w:rPr>
        <w:t>P</w:t>
      </w:r>
      <w:r w:rsidR="00CB7445" w:rsidRPr="00906EB0">
        <w:rPr>
          <w:rFonts w:cs="Arial"/>
          <w:szCs w:val="24"/>
        </w:rPr>
        <w:t>rocedure</w:t>
      </w:r>
      <w:r w:rsidRPr="00906EB0">
        <w:rPr>
          <w:rFonts w:cs="Arial"/>
          <w:szCs w:val="24"/>
        </w:rPr>
        <w:t xml:space="preserve"> cases, then the Investigator will be invited to attend the whole hearing alongside the presenter (Dean’s nominee) and may be called to answer questions as well as the Dean’s nominee.</w:t>
      </w:r>
      <w:r w:rsidR="009A0243" w:rsidRPr="00906EB0">
        <w:rPr>
          <w:rFonts w:cs="Arial"/>
          <w:szCs w:val="24"/>
        </w:rPr>
        <w:t xml:space="preserve"> F</w:t>
      </w:r>
      <w:r w:rsidRPr="00906EB0">
        <w:rPr>
          <w:rFonts w:cs="Arial"/>
          <w:szCs w:val="24"/>
        </w:rPr>
        <w:t>or A</w:t>
      </w:r>
      <w:r w:rsidR="00806A30" w:rsidRPr="00906EB0">
        <w:rPr>
          <w:rFonts w:cs="Arial"/>
          <w:szCs w:val="24"/>
        </w:rPr>
        <w:t xml:space="preserve">cademic Misconduct </w:t>
      </w:r>
      <w:r w:rsidRPr="00906EB0">
        <w:rPr>
          <w:rFonts w:cs="Arial"/>
          <w:szCs w:val="24"/>
        </w:rPr>
        <w:t>P</w:t>
      </w:r>
      <w:r w:rsidR="00806A30" w:rsidRPr="00906EB0">
        <w:rPr>
          <w:rFonts w:cs="Arial"/>
          <w:szCs w:val="24"/>
        </w:rPr>
        <w:t>rocedure</w:t>
      </w:r>
      <w:r w:rsidRPr="00906EB0">
        <w:rPr>
          <w:rFonts w:cs="Arial"/>
          <w:szCs w:val="24"/>
        </w:rPr>
        <w:t xml:space="preserve"> cases involving P</w:t>
      </w:r>
      <w:r w:rsidR="00CB7445" w:rsidRPr="00906EB0">
        <w:rPr>
          <w:rFonts w:cs="Arial"/>
          <w:szCs w:val="24"/>
        </w:rPr>
        <w:t xml:space="preserve">ostgraduate </w:t>
      </w:r>
      <w:r w:rsidRPr="00906EB0">
        <w:rPr>
          <w:rFonts w:cs="Arial"/>
          <w:szCs w:val="24"/>
        </w:rPr>
        <w:t>R</w:t>
      </w:r>
      <w:r w:rsidR="00CB7445" w:rsidRPr="00906EB0">
        <w:rPr>
          <w:rFonts w:cs="Arial"/>
          <w:szCs w:val="24"/>
        </w:rPr>
        <w:t>esearch</w:t>
      </w:r>
      <w:r w:rsidRPr="00906EB0">
        <w:rPr>
          <w:rFonts w:cs="Arial"/>
          <w:szCs w:val="24"/>
        </w:rPr>
        <w:t xml:space="preserve"> students </w:t>
      </w:r>
      <w:r w:rsidR="006607BD" w:rsidRPr="00906EB0">
        <w:rPr>
          <w:rFonts w:cs="Arial"/>
          <w:szCs w:val="24"/>
        </w:rPr>
        <w:t xml:space="preserve">a member of </w:t>
      </w:r>
      <w:r w:rsidRPr="00906EB0">
        <w:rPr>
          <w:rFonts w:cs="Arial"/>
          <w:szCs w:val="24"/>
        </w:rPr>
        <w:t>the supervisor</w:t>
      </w:r>
      <w:r w:rsidR="006607BD" w:rsidRPr="00906EB0">
        <w:rPr>
          <w:rFonts w:cs="Arial"/>
          <w:szCs w:val="24"/>
        </w:rPr>
        <w:t>y</w:t>
      </w:r>
      <w:r w:rsidRPr="00906EB0">
        <w:rPr>
          <w:rFonts w:cs="Arial"/>
          <w:szCs w:val="24"/>
        </w:rPr>
        <w:t xml:space="preserve"> </w:t>
      </w:r>
      <w:r w:rsidR="009A0243" w:rsidRPr="00906EB0">
        <w:rPr>
          <w:rFonts w:cs="Arial"/>
          <w:szCs w:val="24"/>
        </w:rPr>
        <w:t xml:space="preserve">team </w:t>
      </w:r>
      <w:r w:rsidRPr="00906EB0">
        <w:rPr>
          <w:rFonts w:cs="Arial"/>
          <w:szCs w:val="24"/>
        </w:rPr>
        <w:t>will be invited to attend the whole hearing alongside the presenter (Dean’s nominee) and may be called to answer questions as well as the Dean’s nominee.</w:t>
      </w:r>
    </w:p>
    <w:p w14:paraId="4CE01C0A" w14:textId="03EE1681" w:rsidR="00DF51F0" w:rsidRDefault="00DF51F0" w:rsidP="00DF51F0">
      <w:pPr>
        <w:pStyle w:val="Policyheading2"/>
        <w:numPr>
          <w:ilvl w:val="0"/>
          <w:numId w:val="0"/>
        </w:numPr>
        <w:tabs>
          <w:tab w:val="clear" w:pos="567"/>
        </w:tabs>
        <w:spacing w:line="22" w:lineRule="atLeast"/>
        <w:contextualSpacing w:val="0"/>
        <w:rPr>
          <w:b w:val="0"/>
        </w:rPr>
      </w:pPr>
      <w:r>
        <w:rPr>
          <w:b w:val="0"/>
        </w:rPr>
        <w:t>W</w:t>
      </w:r>
      <w:r w:rsidR="0016170D">
        <w:rPr>
          <w:b w:val="0"/>
        </w:rPr>
        <w:t>here</w:t>
      </w:r>
      <w:r w:rsidR="00906EB0">
        <w:rPr>
          <w:b w:val="0"/>
        </w:rPr>
        <w:t>,</w:t>
      </w:r>
      <w:r w:rsidR="0016170D">
        <w:rPr>
          <w:b w:val="0"/>
        </w:rPr>
        <w:t xml:space="preserve"> because of a Reasonable Adjustment Plan (RAP) or other specific circumstance a</w:t>
      </w:r>
      <w:r w:rsidR="00A84BF7">
        <w:rPr>
          <w:b w:val="0"/>
        </w:rPr>
        <w:t xml:space="preserve"> </w:t>
      </w:r>
      <w:proofErr w:type="gramStart"/>
      <w:r w:rsidR="00A84BF7">
        <w:rPr>
          <w:b w:val="0"/>
        </w:rPr>
        <w:t>hearings</w:t>
      </w:r>
      <w:proofErr w:type="gramEnd"/>
      <w:r w:rsidR="00A84BF7">
        <w:rPr>
          <w:b w:val="0"/>
        </w:rPr>
        <w:t xml:space="preserve"> </w:t>
      </w:r>
      <w:r>
        <w:rPr>
          <w:b w:val="0"/>
        </w:rPr>
        <w:t>is being held</w:t>
      </w:r>
      <w:r w:rsidR="00A84BF7">
        <w:rPr>
          <w:b w:val="0"/>
        </w:rPr>
        <w:t xml:space="preserve"> in person</w:t>
      </w:r>
      <w:r w:rsidR="00906EB0">
        <w:rPr>
          <w:b w:val="0"/>
        </w:rPr>
        <w:t>,</w:t>
      </w:r>
      <w:r w:rsidR="00A84BF7">
        <w:rPr>
          <w:b w:val="0"/>
        </w:rPr>
        <w:t xml:space="preserve"> w</w:t>
      </w:r>
      <w:r w:rsidR="00A84BF7" w:rsidRPr="00340F22">
        <w:rPr>
          <w:b w:val="0"/>
        </w:rPr>
        <w:t xml:space="preserve">itnesses may </w:t>
      </w:r>
      <w:r w:rsidR="00A84BF7">
        <w:rPr>
          <w:b w:val="0"/>
        </w:rPr>
        <w:t xml:space="preserve">still </w:t>
      </w:r>
      <w:r w:rsidR="00A84BF7" w:rsidRPr="00340F22">
        <w:rPr>
          <w:b w:val="0"/>
        </w:rPr>
        <w:t xml:space="preserve">attend hearings virtually. </w:t>
      </w:r>
    </w:p>
    <w:p w14:paraId="64550B55" w14:textId="2DE809A5" w:rsidR="00A84BF7" w:rsidRPr="00340F22" w:rsidRDefault="00DF51F0" w:rsidP="00DF51F0">
      <w:pPr>
        <w:pStyle w:val="Policyheading2"/>
        <w:numPr>
          <w:ilvl w:val="0"/>
          <w:numId w:val="0"/>
        </w:numPr>
        <w:tabs>
          <w:tab w:val="clear" w:pos="567"/>
        </w:tabs>
        <w:spacing w:line="22" w:lineRule="atLeast"/>
        <w:contextualSpacing w:val="0"/>
        <w:rPr>
          <w:b w:val="0"/>
        </w:rPr>
      </w:pPr>
      <w:r w:rsidRPr="00340F22">
        <w:rPr>
          <w:b w:val="0"/>
        </w:rPr>
        <w:t>Witnes</w:t>
      </w:r>
      <w:r>
        <w:rPr>
          <w:b w:val="0"/>
        </w:rPr>
        <w:t xml:space="preserve">ses may </w:t>
      </w:r>
      <w:r w:rsidR="00A84BF7" w:rsidRPr="00340F22">
        <w:rPr>
          <w:b w:val="0"/>
        </w:rPr>
        <w:t>request to appear behind a screen</w:t>
      </w:r>
      <w:r>
        <w:rPr>
          <w:b w:val="0"/>
        </w:rPr>
        <w:t xml:space="preserve"> or</w:t>
      </w:r>
      <w:r w:rsidR="00A84BF7">
        <w:rPr>
          <w:b w:val="0"/>
        </w:rPr>
        <w:t xml:space="preserve"> with their camera turned off</w:t>
      </w:r>
      <w:r w:rsidR="00A84BF7" w:rsidRPr="00340F22">
        <w:rPr>
          <w:b w:val="0"/>
        </w:rPr>
        <w:t xml:space="preserve">. Such requests should normally be made at the time of notification of the witness to the hearing. </w:t>
      </w:r>
    </w:p>
    <w:p w14:paraId="2A29A808" w14:textId="77777777" w:rsidR="00404F9E" w:rsidRDefault="00404F9E" w:rsidP="00404F9E">
      <w:pPr>
        <w:keepLines/>
        <w:spacing w:line="22" w:lineRule="atLeast"/>
        <w:ind w:left="142" w:hanging="142"/>
        <w:rPr>
          <w:rFonts w:cs="Arial"/>
          <w:szCs w:val="24"/>
        </w:rPr>
      </w:pPr>
    </w:p>
    <w:p w14:paraId="50208AC4" w14:textId="37BC3928" w:rsidR="00404F9E" w:rsidRPr="00C844F2" w:rsidRDefault="00404F9E" w:rsidP="00404F9E">
      <w:pPr>
        <w:keepLines/>
        <w:spacing w:line="22" w:lineRule="atLeast"/>
        <w:jc w:val="right"/>
        <w:rPr>
          <w:rFonts w:cs="Arial"/>
        </w:rPr>
      </w:pPr>
      <w:r w:rsidRPr="00C844F2">
        <w:rPr>
          <w:rFonts w:cs="Arial"/>
        </w:rPr>
        <w:t xml:space="preserve">Quality Management Office, </w:t>
      </w:r>
      <w:r w:rsidR="009A0243">
        <w:rPr>
          <w:rFonts w:cs="Arial"/>
        </w:rPr>
        <w:t xml:space="preserve">April </w:t>
      </w:r>
      <w:r w:rsidRPr="00C844F2">
        <w:rPr>
          <w:rFonts w:cs="Arial"/>
        </w:rPr>
        <w:t>202</w:t>
      </w:r>
      <w:r w:rsidR="009A0243">
        <w:rPr>
          <w:rFonts w:cs="Arial"/>
        </w:rPr>
        <w:t>3</w:t>
      </w:r>
    </w:p>
    <w:p w14:paraId="3639528C" w14:textId="77777777" w:rsidR="00404F9E" w:rsidRPr="00C844F2" w:rsidRDefault="00404F9E" w:rsidP="00404F9E">
      <w:pPr>
        <w:keepLines/>
        <w:spacing w:line="22" w:lineRule="atLeast"/>
        <w:ind w:left="142" w:hanging="142"/>
        <w:rPr>
          <w:rFonts w:cs="Arial"/>
          <w:szCs w:val="24"/>
        </w:rPr>
      </w:pPr>
    </w:p>
    <w:p w14:paraId="14DA4508" w14:textId="77777777" w:rsidR="00F13EC3" w:rsidRPr="00C844F2" w:rsidRDefault="00F13EC3" w:rsidP="00C844F2">
      <w:pPr>
        <w:spacing w:line="22" w:lineRule="atLeast"/>
        <w:rPr>
          <w:rFonts w:cs="Arial"/>
          <w:b/>
          <w:bCs/>
        </w:rPr>
      </w:pPr>
    </w:p>
    <w:sectPr w:rsidR="00F13EC3" w:rsidRPr="00C844F2" w:rsidSect="00B14B0F">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42495"/>
    <w:multiLevelType w:val="hybridMultilevel"/>
    <w:tmpl w:val="F342C63E"/>
    <w:lvl w:ilvl="0" w:tplc="35A8CB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71496"/>
    <w:multiLevelType w:val="hybridMultilevel"/>
    <w:tmpl w:val="C7C8EB00"/>
    <w:lvl w:ilvl="0" w:tplc="34F8668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59290B"/>
    <w:multiLevelType w:val="multilevel"/>
    <w:tmpl w:val="63CE5DD2"/>
    <w:lvl w:ilvl="0">
      <w:start w:val="1"/>
      <w:numFmt w:val="decimal"/>
      <w:pStyle w:val="PolicyHeading1"/>
      <w:lvlText w:val="%1.0"/>
      <w:lvlJc w:val="left"/>
      <w:pPr>
        <w:tabs>
          <w:tab w:val="num" w:pos="3509"/>
        </w:tabs>
        <w:ind w:left="3509" w:hanging="390"/>
      </w:pPr>
      <w:rPr>
        <w:rFonts w:hint="default"/>
        <w:b/>
        <w:bCs/>
      </w:rPr>
    </w:lvl>
    <w:lvl w:ilvl="1">
      <w:start w:val="1"/>
      <w:numFmt w:val="decimal"/>
      <w:pStyle w:val="Policyheading2"/>
      <w:lvlText w:val="%1.%2"/>
      <w:lvlJc w:val="left"/>
      <w:pPr>
        <w:tabs>
          <w:tab w:val="num" w:pos="4229"/>
        </w:tabs>
        <w:ind w:left="4229" w:hanging="390"/>
      </w:pPr>
      <w:rPr>
        <w:rFonts w:hint="default"/>
      </w:rPr>
    </w:lvl>
    <w:lvl w:ilvl="2">
      <w:start w:val="1"/>
      <w:numFmt w:val="decimal"/>
      <w:lvlText w:val="%1.%2.%3"/>
      <w:lvlJc w:val="left"/>
      <w:pPr>
        <w:tabs>
          <w:tab w:val="num" w:pos="5279"/>
        </w:tabs>
        <w:ind w:left="5279" w:hanging="720"/>
      </w:pPr>
      <w:rPr>
        <w:rFonts w:hint="default"/>
        <w:b w:val="0"/>
        <w:color w:val="auto"/>
        <w:sz w:val="24"/>
        <w:szCs w:val="24"/>
      </w:rPr>
    </w:lvl>
    <w:lvl w:ilvl="3">
      <w:start w:val="1"/>
      <w:numFmt w:val="decimal"/>
      <w:lvlText w:val="%1.%2.%3.%4"/>
      <w:lvlJc w:val="left"/>
      <w:pPr>
        <w:tabs>
          <w:tab w:val="num" w:pos="6359"/>
        </w:tabs>
        <w:ind w:left="6359" w:hanging="1080"/>
      </w:pPr>
      <w:rPr>
        <w:rFonts w:hint="default"/>
      </w:rPr>
    </w:lvl>
    <w:lvl w:ilvl="4">
      <w:start w:val="1"/>
      <w:numFmt w:val="decimal"/>
      <w:lvlText w:val="%1.%2.%3.%4.%5"/>
      <w:lvlJc w:val="left"/>
      <w:pPr>
        <w:tabs>
          <w:tab w:val="num" w:pos="7079"/>
        </w:tabs>
        <w:ind w:left="7079" w:hanging="1080"/>
      </w:pPr>
      <w:rPr>
        <w:rFonts w:hint="default"/>
      </w:rPr>
    </w:lvl>
    <w:lvl w:ilvl="5">
      <w:start w:val="1"/>
      <w:numFmt w:val="decimal"/>
      <w:lvlText w:val="%1.%2.%3.%4.%5.%6"/>
      <w:lvlJc w:val="left"/>
      <w:pPr>
        <w:tabs>
          <w:tab w:val="num" w:pos="8159"/>
        </w:tabs>
        <w:ind w:left="8159" w:hanging="1440"/>
      </w:pPr>
      <w:rPr>
        <w:rFonts w:hint="default"/>
      </w:rPr>
    </w:lvl>
    <w:lvl w:ilvl="6">
      <w:start w:val="1"/>
      <w:numFmt w:val="decimal"/>
      <w:lvlText w:val="%1.%2.%3.%4.%5.%6.%7"/>
      <w:lvlJc w:val="left"/>
      <w:pPr>
        <w:tabs>
          <w:tab w:val="num" w:pos="8879"/>
        </w:tabs>
        <w:ind w:left="8879" w:hanging="1440"/>
      </w:pPr>
      <w:rPr>
        <w:rFonts w:hint="default"/>
      </w:rPr>
    </w:lvl>
    <w:lvl w:ilvl="7">
      <w:start w:val="1"/>
      <w:numFmt w:val="decimal"/>
      <w:lvlText w:val="%1.%2.%3.%4.%5.%6.%7.%8"/>
      <w:lvlJc w:val="left"/>
      <w:pPr>
        <w:tabs>
          <w:tab w:val="num" w:pos="9959"/>
        </w:tabs>
        <w:ind w:left="9959" w:hanging="1800"/>
      </w:pPr>
      <w:rPr>
        <w:rFonts w:hint="default"/>
      </w:rPr>
    </w:lvl>
    <w:lvl w:ilvl="8">
      <w:start w:val="1"/>
      <w:numFmt w:val="decimal"/>
      <w:lvlText w:val="%1.%2.%3.%4.%5.%6.%7.%8.%9"/>
      <w:lvlJc w:val="left"/>
      <w:pPr>
        <w:tabs>
          <w:tab w:val="num" w:pos="10679"/>
        </w:tabs>
        <w:ind w:left="10679" w:hanging="1800"/>
      </w:pPr>
      <w:rPr>
        <w:rFonts w:hint="default"/>
      </w:rPr>
    </w:lvl>
  </w:abstractNum>
  <w:num w:numId="1" w16cid:durableId="791174657">
    <w:abstractNumId w:val="0"/>
  </w:num>
  <w:num w:numId="2" w16cid:durableId="1953130940">
    <w:abstractNumId w:val="1"/>
  </w:num>
  <w:num w:numId="3" w16cid:durableId="1830906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72"/>
    <w:rsid w:val="00093ED3"/>
    <w:rsid w:val="000B1751"/>
    <w:rsid w:val="0016170D"/>
    <w:rsid w:val="001F54AB"/>
    <w:rsid w:val="003E6CB4"/>
    <w:rsid w:val="00404F9E"/>
    <w:rsid w:val="004B5DA4"/>
    <w:rsid w:val="0055145A"/>
    <w:rsid w:val="005C087C"/>
    <w:rsid w:val="00634CCC"/>
    <w:rsid w:val="006607BD"/>
    <w:rsid w:val="0066499B"/>
    <w:rsid w:val="00697BF1"/>
    <w:rsid w:val="00725E57"/>
    <w:rsid w:val="00806A30"/>
    <w:rsid w:val="008A4A72"/>
    <w:rsid w:val="008F4957"/>
    <w:rsid w:val="00906EB0"/>
    <w:rsid w:val="0096396A"/>
    <w:rsid w:val="009A0243"/>
    <w:rsid w:val="00A124BC"/>
    <w:rsid w:val="00A84BF7"/>
    <w:rsid w:val="00B14B0F"/>
    <w:rsid w:val="00B418E7"/>
    <w:rsid w:val="00B61B88"/>
    <w:rsid w:val="00C63614"/>
    <w:rsid w:val="00C844F2"/>
    <w:rsid w:val="00CB7445"/>
    <w:rsid w:val="00D44697"/>
    <w:rsid w:val="00D57C77"/>
    <w:rsid w:val="00D77176"/>
    <w:rsid w:val="00DF51F0"/>
    <w:rsid w:val="00E10D89"/>
    <w:rsid w:val="00F13EC3"/>
    <w:rsid w:val="00FB1925"/>
    <w:rsid w:val="0D943600"/>
    <w:rsid w:val="17F1EC6A"/>
    <w:rsid w:val="3B6C8D15"/>
    <w:rsid w:val="40C80600"/>
    <w:rsid w:val="482CE145"/>
    <w:rsid w:val="4A941535"/>
    <w:rsid w:val="53296D77"/>
    <w:rsid w:val="5555E732"/>
    <w:rsid w:val="631DA240"/>
    <w:rsid w:val="63D04C5E"/>
    <w:rsid w:val="65481241"/>
    <w:rsid w:val="70512919"/>
    <w:rsid w:val="7D492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6119"/>
  <w15:chartTrackingRefBased/>
  <w15:docId w15:val="{1B49FC48-96DB-4AC0-B074-A8007633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C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6C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DA4"/>
    <w:rPr>
      <w:color w:val="0563C1" w:themeColor="hyperlink"/>
      <w:u w:val="single"/>
    </w:rPr>
  </w:style>
  <w:style w:type="character" w:styleId="UnresolvedMention">
    <w:name w:val="Unresolved Mention"/>
    <w:basedOn w:val="DefaultParagraphFont"/>
    <w:uiPriority w:val="99"/>
    <w:semiHidden/>
    <w:unhideWhenUsed/>
    <w:rsid w:val="004B5DA4"/>
    <w:rPr>
      <w:color w:val="605E5C"/>
      <w:shd w:val="clear" w:color="auto" w:fill="E1DFDD"/>
    </w:rPr>
  </w:style>
  <w:style w:type="character" w:customStyle="1" w:styleId="Heading1Char">
    <w:name w:val="Heading 1 Char"/>
    <w:basedOn w:val="DefaultParagraphFont"/>
    <w:link w:val="Heading1"/>
    <w:uiPriority w:val="9"/>
    <w:rsid w:val="003E6C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6C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4F9E"/>
    <w:pPr>
      <w:ind w:left="720"/>
      <w:contextualSpacing/>
    </w:pPr>
  </w:style>
  <w:style w:type="paragraph" w:customStyle="1" w:styleId="Policyheading2">
    <w:name w:val="Policy heading 2"/>
    <w:basedOn w:val="ListParagraph"/>
    <w:link w:val="Policyheading2Char"/>
    <w:qFormat/>
    <w:rsid w:val="00A84BF7"/>
    <w:pPr>
      <w:numPr>
        <w:ilvl w:val="1"/>
        <w:numId w:val="3"/>
      </w:numPr>
      <w:tabs>
        <w:tab w:val="clear" w:pos="4229"/>
        <w:tab w:val="num" w:pos="360"/>
        <w:tab w:val="left" w:pos="567"/>
      </w:tabs>
      <w:spacing w:after="120" w:line="288" w:lineRule="auto"/>
      <w:ind w:left="720" w:firstLine="0"/>
    </w:pPr>
    <w:rPr>
      <w:rFonts w:eastAsiaTheme="minorEastAsia" w:cs="Arial"/>
      <w:b/>
      <w:szCs w:val="24"/>
    </w:rPr>
  </w:style>
  <w:style w:type="paragraph" w:customStyle="1" w:styleId="PolicyHeading1">
    <w:name w:val="Policy Heading1"/>
    <w:basedOn w:val="ListParagraph"/>
    <w:rsid w:val="00A84BF7"/>
    <w:pPr>
      <w:numPr>
        <w:numId w:val="3"/>
      </w:numPr>
      <w:tabs>
        <w:tab w:val="clear" w:pos="3509"/>
        <w:tab w:val="num" w:pos="360"/>
        <w:tab w:val="left" w:pos="567"/>
      </w:tabs>
      <w:spacing w:after="120" w:line="288" w:lineRule="auto"/>
      <w:ind w:left="720" w:firstLine="0"/>
      <w:contextualSpacing w:val="0"/>
    </w:pPr>
    <w:rPr>
      <w:rFonts w:eastAsiaTheme="minorEastAsia" w:cs="Arial"/>
      <w:b/>
      <w:szCs w:val="24"/>
    </w:rPr>
  </w:style>
  <w:style w:type="character" w:customStyle="1" w:styleId="Policyheading2Char">
    <w:name w:val="Policy heading 2 Char"/>
    <w:basedOn w:val="DefaultParagraphFont"/>
    <w:link w:val="Policyheading2"/>
    <w:rsid w:val="00A84BF7"/>
    <w:rPr>
      <w:rFonts w:eastAsiaTheme="minorEastAsia" w:cs="Arial"/>
      <w:b/>
      <w:szCs w:val="24"/>
    </w:rPr>
  </w:style>
  <w:style w:type="character" w:styleId="FollowedHyperlink">
    <w:name w:val="FollowedHyperlink"/>
    <w:basedOn w:val="DefaultParagraphFont"/>
    <w:uiPriority w:val="99"/>
    <w:semiHidden/>
    <w:unhideWhenUsed/>
    <w:rsid w:val="00D57C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ac.uk/sites/default/files/2020-07/Legal-Representatio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18" ma:contentTypeDescription="Create a new document." ma:contentTypeScope="" ma:versionID="9bcf6a5e95345b512da8ade607fd84aa">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732610ed88ed76167955c85bcc32e6bb"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26468-4BF1-4A58-9E46-F4C990CDD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C7F4C-F445-43FA-8136-58A1E9DCFC28}">
  <ds:schemaRefs>
    <ds:schemaRef ds:uri="http://schemas.microsoft.com/office/2006/metadata/properties"/>
    <ds:schemaRef ds:uri="http://schemas.microsoft.com/office/infopath/2007/PartnerControls"/>
    <ds:schemaRef ds:uri="133707ec-14fb-4d75-889a-2f1efcb60819"/>
    <ds:schemaRef ds:uri="092d5aaa-f0f3-4fe8-b07c-781ecd55418a"/>
  </ds:schemaRefs>
</ds:datastoreItem>
</file>

<file path=customXml/itemProps3.xml><?xml version="1.0" encoding="utf-8"?>
<ds:datastoreItem xmlns:ds="http://schemas.openxmlformats.org/officeDocument/2006/customXml" ds:itemID="{F1B99465-8948-4555-924D-C35A151E6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Clemens</dc:creator>
  <cp:keywords/>
  <dc:description/>
  <cp:lastModifiedBy>Richard Clemens</cp:lastModifiedBy>
  <cp:revision>33</cp:revision>
  <dcterms:created xsi:type="dcterms:W3CDTF">2020-12-15T16:11:00Z</dcterms:created>
  <dcterms:modified xsi:type="dcterms:W3CDTF">2023-04-14T13:47:00Z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MediaServiceImageTags">
    <vt:lpwstr/>
  </property>
</Properties>
</file>